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A3" w:rsidRPr="00B9070F" w:rsidRDefault="00174BB6" w:rsidP="00B9070F">
      <w:pPr>
        <w:pStyle w:val="DocumentTitle-HCG"/>
        <w:rPr>
          <w:szCs w:val="32"/>
        </w:rPr>
      </w:pPr>
      <w:r>
        <w:rPr>
          <w:szCs w:val="32"/>
        </w:rPr>
        <w:t>SOP: Conflicting Interests of IRB Members</w:t>
      </w:r>
      <w:r>
        <w:rPr>
          <w:sz w:val="22"/>
          <w:szCs w:val="22"/>
        </w:rPr>
        <w:t xml:space="preserve"> </w:t>
      </w:r>
    </w:p>
    <w:p w:rsidR="00CF41A3" w:rsidRPr="00C42AE1" w:rsidRDefault="00174BB6">
      <w:pPr>
        <w:pStyle w:val="SOPLevel1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>PURPOSE</w:t>
      </w:r>
    </w:p>
    <w:p w:rsidR="00CF41A3" w:rsidRPr="00C42AE1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>This procedure establishes the process</w:t>
      </w:r>
      <w:r w:rsidR="00B9070F" w:rsidRPr="00C42AE1">
        <w:rPr>
          <w:rFonts w:cs="Arial"/>
          <w:sz w:val="22"/>
          <w:szCs w:val="22"/>
        </w:rPr>
        <w:t xml:space="preserve"> by which IRB </w:t>
      </w:r>
      <w:proofErr w:type="gramStart"/>
      <w:r w:rsidR="00B9070F" w:rsidRPr="00C42AE1">
        <w:rPr>
          <w:rFonts w:cs="Arial"/>
          <w:sz w:val="22"/>
          <w:szCs w:val="22"/>
        </w:rPr>
        <w:t>members</w:t>
      </w:r>
      <w:proofErr w:type="gramEnd"/>
      <w:r w:rsidR="00B9070F" w:rsidRPr="00C42AE1">
        <w:rPr>
          <w:rFonts w:cs="Arial"/>
          <w:sz w:val="22"/>
          <w:szCs w:val="22"/>
        </w:rPr>
        <w:t xml:space="preserve"> disclosure financial interests, and</w:t>
      </w:r>
      <w:r w:rsidRPr="00C42AE1">
        <w:rPr>
          <w:rFonts w:cs="Arial"/>
          <w:sz w:val="22"/>
          <w:szCs w:val="22"/>
        </w:rPr>
        <w:t xml:space="preserve"> to identify and manage </w:t>
      </w:r>
      <w:r w:rsidRPr="00C42AE1">
        <w:rPr>
          <w:rFonts w:cs="Arial"/>
          <w:sz w:val="22"/>
          <w:szCs w:val="22"/>
          <w:u w:val="double"/>
        </w:rPr>
        <w:t>Conflicting Interest</w:t>
      </w:r>
      <w:r w:rsidRPr="00C42AE1">
        <w:rPr>
          <w:rFonts w:cs="Arial"/>
          <w:sz w:val="22"/>
          <w:szCs w:val="22"/>
        </w:rPr>
        <w:t xml:space="preserve"> of IRB members.</w:t>
      </w:r>
    </w:p>
    <w:p w:rsidR="00B9070F" w:rsidRPr="00C42AE1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 xml:space="preserve">The process begins when an IRB member is asked to </w:t>
      </w:r>
      <w:r w:rsidR="00B9070F" w:rsidRPr="00C42AE1">
        <w:rPr>
          <w:rFonts w:cs="Arial"/>
          <w:sz w:val="22"/>
          <w:szCs w:val="22"/>
        </w:rPr>
        <w:t>make and annual disclosure of financial interests.</w:t>
      </w:r>
    </w:p>
    <w:p w:rsidR="00CF41A3" w:rsidRPr="00C42AE1" w:rsidRDefault="00B9070F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 xml:space="preserve">The process continues each time an IRB member is asked to </w:t>
      </w:r>
      <w:r w:rsidR="00174BB6" w:rsidRPr="00C42AE1">
        <w:rPr>
          <w:rFonts w:cs="Arial"/>
          <w:sz w:val="22"/>
          <w:szCs w:val="22"/>
        </w:rPr>
        <w:t>review an IRB submission.</w:t>
      </w:r>
    </w:p>
    <w:p w:rsidR="00CF41A3" w:rsidRPr="00C42AE1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 xml:space="preserve">The process ends when an IRB member has </w:t>
      </w:r>
      <w:r w:rsidR="00B9070F" w:rsidRPr="00C42AE1">
        <w:rPr>
          <w:rFonts w:cs="Arial"/>
          <w:sz w:val="22"/>
          <w:szCs w:val="22"/>
        </w:rPr>
        <w:t xml:space="preserve">completed his/her annual disclosure and has </w:t>
      </w:r>
      <w:r w:rsidRPr="00C42AE1">
        <w:rPr>
          <w:rFonts w:cs="Arial"/>
          <w:sz w:val="22"/>
          <w:szCs w:val="22"/>
        </w:rPr>
        <w:t xml:space="preserve">either identified a </w:t>
      </w:r>
      <w:r w:rsidRPr="00C42AE1">
        <w:rPr>
          <w:rFonts w:cs="Arial"/>
          <w:sz w:val="22"/>
          <w:szCs w:val="22"/>
          <w:u w:val="double"/>
        </w:rPr>
        <w:t>Conflicting Interest</w:t>
      </w:r>
      <w:r w:rsidRPr="00C42AE1">
        <w:rPr>
          <w:rFonts w:cs="Arial"/>
          <w:sz w:val="22"/>
          <w:szCs w:val="22"/>
        </w:rPr>
        <w:t xml:space="preserve"> and notified IRB staff, or when an IRB member has determined that he or she does not have a </w:t>
      </w:r>
      <w:r w:rsidRPr="00C42AE1">
        <w:rPr>
          <w:rFonts w:cs="Arial"/>
          <w:sz w:val="22"/>
          <w:szCs w:val="22"/>
          <w:u w:val="double"/>
        </w:rPr>
        <w:t>Conflicting Interest</w:t>
      </w:r>
      <w:r w:rsidRPr="00C42AE1">
        <w:rPr>
          <w:rFonts w:cs="Arial"/>
          <w:sz w:val="22"/>
          <w:szCs w:val="22"/>
        </w:rPr>
        <w:t>.</w:t>
      </w:r>
    </w:p>
    <w:p w:rsidR="00CF41A3" w:rsidRPr="00C42AE1" w:rsidRDefault="00174BB6">
      <w:pPr>
        <w:pStyle w:val="SOPLevel1"/>
        <w:spacing w:line="276" w:lineRule="auto"/>
        <w:rPr>
          <w:sz w:val="22"/>
          <w:szCs w:val="22"/>
        </w:rPr>
      </w:pPr>
      <w:r w:rsidRPr="00C42AE1">
        <w:rPr>
          <w:sz w:val="22"/>
          <w:szCs w:val="22"/>
        </w:rPr>
        <w:t>REVISIONS FROM PREVIOUS VERSION</w:t>
      </w:r>
    </w:p>
    <w:p w:rsidR="00CF41A3" w:rsidRPr="00C42AE1" w:rsidRDefault="00B9070F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>Added procedures regarding annual disclosure of financial interests.</w:t>
      </w:r>
    </w:p>
    <w:p w:rsidR="00CF41A3" w:rsidRPr="00C42AE1" w:rsidRDefault="00174BB6">
      <w:pPr>
        <w:pStyle w:val="SOPLevel1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>POLICY</w:t>
      </w:r>
      <w:bookmarkStart w:id="0" w:name="_GoBack"/>
      <w:bookmarkEnd w:id="0"/>
    </w:p>
    <w:p w:rsidR="00B9070F" w:rsidRPr="00C42AE1" w:rsidRDefault="00B9070F" w:rsidP="00B9070F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>Institutional policy requires all IRB members disclose their financial interests related to research to the FCOIRC and members recuse themselves from review, discussion or vote on any research related to a financial interest.</w:t>
      </w:r>
    </w:p>
    <w:p w:rsidR="00CF41A3" w:rsidRPr="00C42AE1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 xml:space="preserve">IRB members are responsible to know the definition of </w:t>
      </w:r>
      <w:r w:rsidRPr="00C42AE1">
        <w:rPr>
          <w:rFonts w:cs="Arial"/>
          <w:sz w:val="22"/>
          <w:szCs w:val="22"/>
          <w:u w:val="double"/>
        </w:rPr>
        <w:t>Conflicting Interest</w:t>
      </w:r>
      <w:r w:rsidRPr="00C42AE1">
        <w:rPr>
          <w:rFonts w:cs="Arial"/>
          <w:sz w:val="22"/>
          <w:szCs w:val="22"/>
        </w:rPr>
        <w:t xml:space="preserve"> and self-identify when they have a </w:t>
      </w:r>
      <w:r w:rsidRPr="00C42AE1">
        <w:rPr>
          <w:rFonts w:cs="Arial"/>
          <w:sz w:val="22"/>
          <w:szCs w:val="22"/>
          <w:u w:val="double"/>
        </w:rPr>
        <w:t>Conflicting Interest</w:t>
      </w:r>
      <w:r w:rsidRPr="00C42AE1">
        <w:rPr>
          <w:rFonts w:cs="Arial"/>
          <w:sz w:val="22"/>
          <w:szCs w:val="22"/>
        </w:rPr>
        <w:t>.</w:t>
      </w:r>
    </w:p>
    <w:p w:rsidR="00CF41A3" w:rsidRPr="00C42AE1" w:rsidRDefault="00174BB6">
      <w:pPr>
        <w:pStyle w:val="SOPLevel1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>RESPONSIBILITIES</w:t>
      </w:r>
    </w:p>
    <w:p w:rsidR="00CF41A3" w:rsidRPr="00C42AE1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>IRB members (regular and alternate) follow these procedures.</w:t>
      </w:r>
    </w:p>
    <w:p w:rsidR="00CF41A3" w:rsidRPr="00C42AE1" w:rsidRDefault="00174BB6">
      <w:pPr>
        <w:pStyle w:val="SOPLevel1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>PROCEDURE</w:t>
      </w:r>
    </w:p>
    <w:p w:rsidR="00B9070F" w:rsidRPr="00C42AE1" w:rsidRDefault="00B9070F" w:rsidP="00B9070F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>By March 31, or within 3 months of joining the Board, IRB members make their annual disclosure of financial interests through Mount Sinai’s COI disclosure procedure.</w:t>
      </w:r>
    </w:p>
    <w:p w:rsidR="00CF41A3" w:rsidRPr="00C42AE1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 xml:space="preserve">Before reviewing research, IRB members are to determine whether they have a </w:t>
      </w:r>
      <w:r w:rsidRPr="00C42AE1">
        <w:rPr>
          <w:rFonts w:cs="Arial"/>
          <w:sz w:val="22"/>
          <w:szCs w:val="22"/>
          <w:u w:val="double"/>
        </w:rPr>
        <w:t>Conflicting Interest</w:t>
      </w:r>
      <w:r w:rsidRPr="00C42AE1">
        <w:rPr>
          <w:rFonts w:cs="Arial"/>
          <w:sz w:val="22"/>
          <w:szCs w:val="22"/>
        </w:rPr>
        <w:t xml:space="preserve"> with research.</w:t>
      </w:r>
    </w:p>
    <w:p w:rsidR="00CF41A3" w:rsidRPr="00C42AE1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 xml:space="preserve">If an IRB member has a </w:t>
      </w:r>
      <w:r w:rsidRPr="00C42AE1">
        <w:rPr>
          <w:rFonts w:cs="Arial"/>
          <w:sz w:val="22"/>
          <w:szCs w:val="22"/>
          <w:u w:val="double"/>
        </w:rPr>
        <w:t>Conflicting Interest</w:t>
      </w:r>
      <w:r w:rsidRPr="00C42AE1">
        <w:rPr>
          <w:rFonts w:cs="Arial"/>
          <w:sz w:val="22"/>
          <w:szCs w:val="22"/>
        </w:rPr>
        <w:t xml:space="preserve"> for review outside a meeting (e.g., the expedited procedure), he or she is to notify the IRB staff and return all materials</w:t>
      </w:r>
      <w:r w:rsidR="00B9070F" w:rsidRPr="00C42AE1">
        <w:rPr>
          <w:rFonts w:cs="Arial"/>
          <w:sz w:val="22"/>
          <w:szCs w:val="22"/>
        </w:rPr>
        <w:t xml:space="preserve"> so the submission can be re-assigned</w:t>
      </w:r>
      <w:r w:rsidRPr="00C42AE1">
        <w:rPr>
          <w:rFonts w:cs="Arial"/>
          <w:sz w:val="22"/>
          <w:szCs w:val="22"/>
        </w:rPr>
        <w:t>.</w:t>
      </w:r>
    </w:p>
    <w:p w:rsidR="00CF41A3" w:rsidRPr="00C42AE1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 xml:space="preserve">If an IRB member has a </w:t>
      </w:r>
      <w:r w:rsidRPr="00C42AE1">
        <w:rPr>
          <w:rFonts w:cs="Arial"/>
          <w:sz w:val="22"/>
          <w:szCs w:val="22"/>
          <w:u w:val="double"/>
        </w:rPr>
        <w:t>Conflicting Interest</w:t>
      </w:r>
      <w:r w:rsidRPr="00C42AE1">
        <w:rPr>
          <w:rFonts w:cs="Arial"/>
          <w:sz w:val="22"/>
          <w:szCs w:val="22"/>
        </w:rPr>
        <w:t xml:space="preserve"> for review of a submission for which he or she has been assigned as a primary or scientific reviewer, he or she is to notify the IRB staff so the submission can be re-assigned.</w:t>
      </w:r>
    </w:p>
    <w:p w:rsidR="00174BB6" w:rsidRPr="00C42AE1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 xml:space="preserve">If an IRB member has a </w:t>
      </w:r>
      <w:r w:rsidRPr="00C42AE1">
        <w:rPr>
          <w:rFonts w:cs="Arial"/>
          <w:sz w:val="22"/>
          <w:szCs w:val="22"/>
          <w:u w:val="double"/>
        </w:rPr>
        <w:t>Conflicting Interest</w:t>
      </w:r>
      <w:r w:rsidRPr="00C42AE1">
        <w:rPr>
          <w:rFonts w:cs="Arial"/>
          <w:sz w:val="22"/>
          <w:szCs w:val="22"/>
        </w:rPr>
        <w:t xml:space="preserve"> for review of research at a meeting, he or she is to:</w:t>
      </w:r>
    </w:p>
    <w:p w:rsidR="00174BB6" w:rsidRPr="00C42AE1" w:rsidRDefault="00174BB6" w:rsidP="00174BB6">
      <w:pPr>
        <w:pStyle w:val="SOPLevel3"/>
      </w:pPr>
      <w:r w:rsidRPr="00C42AE1">
        <w:t xml:space="preserve">Notify the </w:t>
      </w:r>
      <w:r w:rsidR="00B9070F" w:rsidRPr="00C42AE1">
        <w:t xml:space="preserve">IRB </w:t>
      </w:r>
      <w:r w:rsidRPr="00C42AE1">
        <w:t>chair</w:t>
      </w:r>
      <w:r w:rsidR="00B9070F" w:rsidRPr="00C42AE1">
        <w:t xml:space="preserve"> of the meeting</w:t>
      </w:r>
      <w:r w:rsidRPr="00C42AE1">
        <w:t xml:space="preserve">, </w:t>
      </w:r>
    </w:p>
    <w:p w:rsidR="00174BB6" w:rsidRPr="00C42AE1" w:rsidRDefault="00174BB6" w:rsidP="00174BB6">
      <w:pPr>
        <w:pStyle w:val="SOPLevel3"/>
      </w:pPr>
      <w:r w:rsidRPr="00C42AE1">
        <w:t>R</w:t>
      </w:r>
      <w:r w:rsidR="00B9070F" w:rsidRPr="00C42AE1">
        <w:t xml:space="preserve">ecuse him/herself from the review, discussion and voting, </w:t>
      </w:r>
    </w:p>
    <w:p w:rsidR="00174BB6" w:rsidRPr="00C42AE1" w:rsidRDefault="00174BB6" w:rsidP="00174BB6">
      <w:pPr>
        <w:pStyle w:val="SOPLevel3"/>
      </w:pPr>
      <w:r w:rsidRPr="00C42AE1">
        <w:t xml:space="preserve">Stay in the meeting room only to answer questions about the research, and </w:t>
      </w:r>
    </w:p>
    <w:p w:rsidR="00CF41A3" w:rsidRPr="00C42AE1" w:rsidRDefault="00174BB6" w:rsidP="00174BB6">
      <w:pPr>
        <w:pStyle w:val="SOPLevel3"/>
      </w:pPr>
      <w:r w:rsidRPr="00C42AE1">
        <w:t>Leave the meeting room for discussion and voting regarding that research.</w:t>
      </w:r>
    </w:p>
    <w:p w:rsidR="00CF41A3" w:rsidRPr="00C42AE1" w:rsidRDefault="00174BB6">
      <w:pPr>
        <w:pStyle w:val="SOPLevel1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>MATERIALS</w:t>
      </w:r>
    </w:p>
    <w:p w:rsidR="00CF41A3" w:rsidRPr="00C42AE1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>Annual Mount Sinai FCOI disclosure form</w:t>
      </w:r>
    </w:p>
    <w:p w:rsidR="00174BB6" w:rsidRPr="00C42AE1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 xml:space="preserve">Definition of </w:t>
      </w:r>
      <w:r w:rsidRPr="00C42AE1">
        <w:rPr>
          <w:rFonts w:cs="Arial"/>
          <w:sz w:val="22"/>
          <w:szCs w:val="22"/>
          <w:u w:val="double"/>
        </w:rPr>
        <w:t>Conflicting Interest</w:t>
      </w:r>
    </w:p>
    <w:p w:rsidR="00CF41A3" w:rsidRPr="00C42AE1" w:rsidRDefault="00174BB6">
      <w:pPr>
        <w:pStyle w:val="SOPLevel1"/>
        <w:spacing w:line="276" w:lineRule="auto"/>
        <w:rPr>
          <w:rFonts w:cs="Arial"/>
          <w:sz w:val="22"/>
          <w:szCs w:val="22"/>
        </w:rPr>
      </w:pPr>
      <w:r w:rsidRPr="00C42AE1">
        <w:rPr>
          <w:rFonts w:cs="Arial"/>
          <w:sz w:val="22"/>
          <w:szCs w:val="22"/>
        </w:rPr>
        <w:t>REFERENCES</w:t>
      </w:r>
    </w:p>
    <w:p w:rsidR="00CF41A3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21 CFR §56.107(e).</w:t>
      </w:r>
    </w:p>
    <w:p w:rsidR="00CF41A3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45 CFR §46.107(e).</w:t>
      </w:r>
    </w:p>
    <w:p w:rsidR="00CF41A3" w:rsidRDefault="00174BB6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AAHRPP elements I-9, II.1.D</w:t>
      </w:r>
    </w:p>
    <w:sectPr w:rsidR="00CF41A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E5" w:rsidRDefault="00EB3AE5" w:rsidP="00855EE6">
      <w:pPr>
        <w:spacing w:after="0" w:line="240" w:lineRule="auto"/>
      </w:pPr>
      <w:r>
        <w:separator/>
      </w:r>
    </w:p>
  </w:endnote>
  <w:endnote w:type="continuationSeparator" w:id="0">
    <w:p w:rsidR="00EB3AE5" w:rsidRDefault="00EB3AE5" w:rsidP="00855EE6">
      <w:pPr>
        <w:spacing w:after="0" w:line="240" w:lineRule="auto"/>
      </w:pPr>
      <w:r>
        <w:continuationSeparator/>
      </w:r>
    </w:p>
  </w:endnote>
  <w:endnote w:type="continuationNotice" w:id="1">
    <w:p w:rsidR="00F733B5" w:rsidRDefault="00F73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A3" w:rsidRDefault="00174BB6" w:rsidP="00E169D8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42AE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42AE1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70F" w:rsidRPr="00C42AE1" w:rsidRDefault="00174BB6" w:rsidP="00C42AE1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42AE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42AE1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E5" w:rsidRDefault="00EB3AE5" w:rsidP="00855EE6">
      <w:pPr>
        <w:spacing w:after="0" w:line="240" w:lineRule="auto"/>
      </w:pPr>
      <w:r>
        <w:separator/>
      </w:r>
    </w:p>
  </w:footnote>
  <w:footnote w:type="continuationSeparator" w:id="0">
    <w:p w:rsidR="00EB3AE5" w:rsidRDefault="00EB3AE5" w:rsidP="00855EE6">
      <w:pPr>
        <w:spacing w:after="0" w:line="240" w:lineRule="auto"/>
      </w:pPr>
      <w:r>
        <w:continuationSeparator/>
      </w:r>
    </w:p>
  </w:footnote>
  <w:footnote w:type="continuationNotice" w:id="1">
    <w:p w:rsidR="00F733B5" w:rsidRDefault="00F733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A3" w:rsidRDefault="00CF41A3">
    <w:pPr>
      <w:pStyle w:val="Header"/>
      <w:jc w:val="center"/>
      <w:rPr>
        <w:noProof/>
      </w:rPr>
    </w:pPr>
  </w:p>
  <w:p w:rsidR="00CF41A3" w:rsidRDefault="00CF41A3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1225"/>
      <w:gridCol w:w="1205"/>
      <w:gridCol w:w="2183"/>
      <w:gridCol w:w="2121"/>
      <w:gridCol w:w="1125"/>
    </w:tblGrid>
    <w:tr w:rsidR="00B9070F" w:rsidRPr="0007408F" w:rsidTr="00202E0A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B9070F" w:rsidRPr="0007408F" w:rsidRDefault="00B9070F" w:rsidP="00B9070F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2CD400C4" wp14:editId="5C2E22DD">
                <wp:extent cx="1600282" cy="565179"/>
                <wp:effectExtent l="0" t="0" r="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070F" w:rsidRPr="0007408F" w:rsidRDefault="00B9070F" w:rsidP="00B9070F">
          <w:pPr>
            <w:pStyle w:val="SOPName"/>
            <w:spacing w:before="120" w:after="120"/>
            <w:jc w:val="center"/>
            <w:rPr>
              <w:rFonts w:cs="Arial"/>
            </w:rPr>
          </w:pPr>
          <w:r w:rsidRPr="0007408F">
            <w:rPr>
              <w:rStyle w:val="SOPLeader"/>
              <w:rFonts w:cs="Arial"/>
            </w:rPr>
            <w:t>SOP:</w:t>
          </w:r>
          <w:r>
            <w:rPr>
              <w:rStyle w:val="SOPLeader"/>
              <w:rFonts w:cs="Arial"/>
            </w:rPr>
            <w:t xml:space="preserve"> Confl</w:t>
          </w:r>
          <w:r w:rsidR="00C42AE1">
            <w:rPr>
              <w:rStyle w:val="SOPLeader"/>
              <w:rFonts w:cs="Arial"/>
            </w:rPr>
            <w:t>icting Interests of IRB Members</w:t>
          </w:r>
        </w:p>
      </w:tc>
    </w:tr>
    <w:tr w:rsidR="00B9070F" w:rsidRPr="0007408F" w:rsidTr="00202E0A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B9070F" w:rsidRPr="0007408F" w:rsidRDefault="00B9070F" w:rsidP="00B9070F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9070F" w:rsidRPr="0007408F" w:rsidRDefault="00B9070F" w:rsidP="00B9070F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9070F" w:rsidRPr="0007408F" w:rsidRDefault="00B9070F" w:rsidP="00B9070F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9070F" w:rsidRPr="0007408F" w:rsidRDefault="00B9070F" w:rsidP="00B9070F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9070F" w:rsidRPr="0007408F" w:rsidRDefault="00B9070F" w:rsidP="00B9070F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9070F" w:rsidRPr="0007408F" w:rsidRDefault="00B9070F" w:rsidP="00B9070F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B9070F" w:rsidRPr="0007408F" w:rsidTr="00202E0A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B9070F" w:rsidRPr="0007408F" w:rsidRDefault="00B9070F" w:rsidP="00B9070F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9070F" w:rsidRPr="0007408F" w:rsidRDefault="00B9070F" w:rsidP="00B9070F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HRP-0</w:t>
          </w:r>
          <w:r>
            <w:rPr>
              <w:rFonts w:cs="Arial"/>
            </w:rPr>
            <w:t>50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9070F" w:rsidRPr="0007408F" w:rsidRDefault="00B9070F" w:rsidP="00B9070F">
          <w:pPr>
            <w:pStyle w:val="SOPTableEntry"/>
            <w:rPr>
              <w:rFonts w:cs="Arial"/>
            </w:rPr>
          </w:pPr>
          <w:r>
            <w:rPr>
              <w:rFonts w:cs="Arial"/>
            </w:rPr>
            <w:t>12/9/2022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9070F" w:rsidRPr="0007408F" w:rsidRDefault="00B9070F" w:rsidP="00B9070F">
          <w:pPr>
            <w:pStyle w:val="SOPTableEntry"/>
            <w:rPr>
              <w:rFonts w:cs="Arial"/>
            </w:rPr>
          </w:pPr>
          <w:r>
            <w:rPr>
              <w:rFonts w:cs="Arial"/>
            </w:rPr>
            <w:t>T. Bechert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9070F" w:rsidRPr="0007408F" w:rsidRDefault="00B9070F" w:rsidP="00B9070F">
          <w:pPr>
            <w:pStyle w:val="SOPTableEntry"/>
            <w:rPr>
              <w:rFonts w:cs="Arial"/>
            </w:rPr>
          </w:pPr>
          <w:r>
            <w:rPr>
              <w:rFonts w:cs="Arial"/>
            </w:rPr>
            <w:t>G. Martin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9070F" w:rsidRPr="0007408F" w:rsidRDefault="00B9070F" w:rsidP="00B9070F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C42AE1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C42AE1">
            <w:rPr>
              <w:rFonts w:cs="Arial"/>
              <w:noProof/>
            </w:rPr>
            <w:t>2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:rsidR="00CF41A3" w:rsidRDefault="00CF41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1D78"/>
    <w:multiLevelType w:val="multilevel"/>
    <w:tmpl w:val="070247AE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2142"/>
        </w:tabs>
        <w:ind w:left="1206" w:firstLine="14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6"/>
    <w:rsid w:val="00061B79"/>
    <w:rsid w:val="00073852"/>
    <w:rsid w:val="00082AFF"/>
    <w:rsid w:val="00095BC7"/>
    <w:rsid w:val="00097C68"/>
    <w:rsid w:val="000A7091"/>
    <w:rsid w:val="000E220B"/>
    <w:rsid w:val="000E74B1"/>
    <w:rsid w:val="000F5F1B"/>
    <w:rsid w:val="00112F1A"/>
    <w:rsid w:val="001252DF"/>
    <w:rsid w:val="00150F7C"/>
    <w:rsid w:val="00174BB6"/>
    <w:rsid w:val="00216912"/>
    <w:rsid w:val="00260B8F"/>
    <w:rsid w:val="00272E9B"/>
    <w:rsid w:val="002A0DD4"/>
    <w:rsid w:val="002B681F"/>
    <w:rsid w:val="00325A56"/>
    <w:rsid w:val="00326316"/>
    <w:rsid w:val="00326970"/>
    <w:rsid w:val="0034262A"/>
    <w:rsid w:val="0035722D"/>
    <w:rsid w:val="00376FA0"/>
    <w:rsid w:val="00397D6B"/>
    <w:rsid w:val="003E5AE2"/>
    <w:rsid w:val="003F35F5"/>
    <w:rsid w:val="00413B76"/>
    <w:rsid w:val="00432636"/>
    <w:rsid w:val="00433C87"/>
    <w:rsid w:val="004709CB"/>
    <w:rsid w:val="004B05DE"/>
    <w:rsid w:val="004E2CCD"/>
    <w:rsid w:val="00512CDD"/>
    <w:rsid w:val="005420A4"/>
    <w:rsid w:val="005678B9"/>
    <w:rsid w:val="00574247"/>
    <w:rsid w:val="0059053B"/>
    <w:rsid w:val="005C5C4B"/>
    <w:rsid w:val="005F1CE5"/>
    <w:rsid w:val="00612FDA"/>
    <w:rsid w:val="0062282F"/>
    <w:rsid w:val="00625EFE"/>
    <w:rsid w:val="00636276"/>
    <w:rsid w:val="00650A58"/>
    <w:rsid w:val="00675EB8"/>
    <w:rsid w:val="006844F4"/>
    <w:rsid w:val="00695219"/>
    <w:rsid w:val="006C3173"/>
    <w:rsid w:val="006F23D2"/>
    <w:rsid w:val="007469E0"/>
    <w:rsid w:val="0076301A"/>
    <w:rsid w:val="00790F64"/>
    <w:rsid w:val="00821C23"/>
    <w:rsid w:val="0084152D"/>
    <w:rsid w:val="00855EE6"/>
    <w:rsid w:val="0086083E"/>
    <w:rsid w:val="00872DA6"/>
    <w:rsid w:val="00891FE9"/>
    <w:rsid w:val="00892392"/>
    <w:rsid w:val="00893D51"/>
    <w:rsid w:val="008B0231"/>
    <w:rsid w:val="008B32E5"/>
    <w:rsid w:val="008B3D20"/>
    <w:rsid w:val="00915462"/>
    <w:rsid w:val="00917358"/>
    <w:rsid w:val="009C1EE8"/>
    <w:rsid w:val="00AC2F0C"/>
    <w:rsid w:val="00AC4ED1"/>
    <w:rsid w:val="00B23768"/>
    <w:rsid w:val="00B23D93"/>
    <w:rsid w:val="00B54DF7"/>
    <w:rsid w:val="00B61F4A"/>
    <w:rsid w:val="00B9070F"/>
    <w:rsid w:val="00BB2AC7"/>
    <w:rsid w:val="00BF2F85"/>
    <w:rsid w:val="00C11900"/>
    <w:rsid w:val="00C40379"/>
    <w:rsid w:val="00C42AE1"/>
    <w:rsid w:val="00C468AA"/>
    <w:rsid w:val="00C536C2"/>
    <w:rsid w:val="00C75CAF"/>
    <w:rsid w:val="00C97E43"/>
    <w:rsid w:val="00CF41A3"/>
    <w:rsid w:val="00D35E6A"/>
    <w:rsid w:val="00D926D2"/>
    <w:rsid w:val="00E0288C"/>
    <w:rsid w:val="00E03D8D"/>
    <w:rsid w:val="00E169D8"/>
    <w:rsid w:val="00E33C34"/>
    <w:rsid w:val="00E34769"/>
    <w:rsid w:val="00E61D55"/>
    <w:rsid w:val="00EB3AE5"/>
    <w:rsid w:val="00EE39FA"/>
    <w:rsid w:val="00EF642F"/>
    <w:rsid w:val="00F116D8"/>
    <w:rsid w:val="00F21D47"/>
    <w:rsid w:val="00F40567"/>
    <w:rsid w:val="00F733B5"/>
    <w:rsid w:val="00F84AEF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E39FE7"/>
  <w15:chartTrackingRefBased/>
  <w15:docId w15:val="{75EF74ED-8A38-4F1D-A7DC-1F93D5A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4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14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B9070F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9070F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B9070F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B9070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94FB3-B034-47D2-8A3E-418F401558BF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2ea0786-c62f-461e-8137-5f11c0e77141"/>
    <ds:schemaRef ds:uri="4385ab65-09ca-4886-862c-f1f34fdd81c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F97C1-78D3-4425-BEC4-7C54ECD5F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2</cp:revision>
  <dcterms:created xsi:type="dcterms:W3CDTF">2023-06-14T21:05:00Z</dcterms:created>
  <dcterms:modified xsi:type="dcterms:W3CDTF">2023-06-14T21:05:00Z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